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20" w:rsidRDefault="00040720"/>
    <w:p w:rsidR="009F14E1" w:rsidRDefault="009F14E1"/>
    <w:p w:rsidR="001C01A3" w:rsidRDefault="001C01A3"/>
    <w:tbl>
      <w:tblPr>
        <w:tblStyle w:val="Tablaconcuadrcula"/>
        <w:tblW w:w="9073" w:type="dxa"/>
        <w:tblInd w:w="-486" w:type="dxa"/>
        <w:tblLook w:val="04A0" w:firstRow="1" w:lastRow="0" w:firstColumn="1" w:lastColumn="0" w:noHBand="0" w:noVBand="1"/>
      </w:tblPr>
      <w:tblGrid>
        <w:gridCol w:w="9073"/>
      </w:tblGrid>
      <w:tr w:rsidR="00040720" w:rsidTr="001C01A3">
        <w:tc>
          <w:tcPr>
            <w:tcW w:w="9073" w:type="dxa"/>
            <w:tcBorders>
              <w:top w:val="thinThickMediumGap" w:sz="24" w:space="0" w:color="auto"/>
              <w:left w:val="thinThickMedium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40720" w:rsidRDefault="00040720"/>
          <w:p w:rsidR="00040720" w:rsidRDefault="00040720" w:rsidP="00040720">
            <w:pPr>
              <w:tabs>
                <w:tab w:val="center" w:pos="4252"/>
              </w:tabs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1312" behindDoc="0" locked="0" layoutInCell="1" allowOverlap="1" wp14:anchorId="198BB8DE" wp14:editId="203FE27C">
                  <wp:simplePos x="0" y="0"/>
                  <wp:positionH relativeFrom="column">
                    <wp:posOffset>4801135</wp:posOffset>
                  </wp:positionH>
                  <wp:positionV relativeFrom="paragraph">
                    <wp:posOffset>147087</wp:posOffset>
                  </wp:positionV>
                  <wp:extent cx="543927" cy="504825"/>
                  <wp:effectExtent l="0" t="0" r="889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27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14E1" w:rsidRDefault="005C3539" w:rsidP="005C3539">
            <w:pPr>
              <w:pStyle w:val="Encabezado"/>
            </w:pPr>
            <w:r>
              <w:rPr>
                <w:noProof/>
              </w:rPr>
              <w:drawing>
                <wp:inline distT="0" distB="0" distL="0" distR="0" wp14:anchorId="0DBF3CDB" wp14:editId="7C8E4664">
                  <wp:extent cx="1762125" cy="1057275"/>
                  <wp:effectExtent l="0" t="0" r="9525" b="9525"/>
                  <wp:docPr id="1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0720">
              <w:rPr>
                <w:rFonts w:ascii="Cambria" w:hAnsi="Cambria"/>
                <w:b/>
                <w:bCs/>
                <w:i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361E64" wp14:editId="2C38C935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-8890</wp:posOffset>
                      </wp:positionV>
                      <wp:extent cx="2771775" cy="485775"/>
                      <wp:effectExtent l="0" t="0" r="9525" b="952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0720" w:rsidRDefault="00040720" w:rsidP="00040720">
                                  <w:pPr>
                                    <w:tabs>
                                      <w:tab w:val="center" w:pos="1980"/>
                                      <w:tab w:val="center" w:pos="72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337BBC">
                                    <w:rPr>
                                      <w:rFonts w:ascii="Arial Narrow" w:hAnsi="Arial Narrow" w:cs="Times New Roman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“Decenio de </w: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  <w:t>la Igualdad de Oportunidades Para Mujeres y</w:t>
                                  </w:r>
                                  <w:r w:rsidRPr="00337BBC">
                                    <w:rPr>
                                      <w:rFonts w:ascii="Arial Narrow" w:hAnsi="Arial Narrow" w:cs="Times New Roman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Hombres” 2018 al 2027</w:t>
                                  </w:r>
                                </w:p>
                                <w:p w:rsidR="00040720" w:rsidRPr="00337BBC" w:rsidRDefault="00040720" w:rsidP="00040720">
                                  <w:pPr>
                                    <w:tabs>
                                      <w:tab w:val="center" w:pos="1980"/>
                                      <w:tab w:val="center" w:pos="720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Times New Roman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337BBC">
                                    <w:rPr>
                                      <w:rFonts w:ascii="Arial Narrow" w:hAnsi="Arial Narrow" w:cs="Times New Roman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  <w:t>“Año de la L</w: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  <w:t>ucha Contra la Corrupción y la I</w:t>
                                  </w:r>
                                  <w:r w:rsidRPr="00337BBC">
                                    <w:rPr>
                                      <w:rFonts w:ascii="Arial Narrow" w:hAnsi="Arial Narrow" w:cs="Times New Roman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MX"/>
                                    </w:rPr>
                                    <w:t>mpunidad”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61E64" id="Rectángulo 49" o:spid="_x0000_s1026" style="position:absolute;margin-left:166.2pt;margin-top:-.7pt;width:218.2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" fillcolor="white [3212]" stroked="f" strokeweight="1pt">
                      <v:textbox>
                        <w:txbxContent>
                          <w:p w:rsidR="00040720" w:rsidRDefault="00040720" w:rsidP="00040720">
                            <w:pPr>
                              <w:tabs>
                                <w:tab w:val="center" w:pos="1980"/>
                                <w:tab w:val="center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37BBC">
                              <w:rPr>
                                <w:rFonts w:ascii="Arial Narrow" w:hAnsi="Arial Narrow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“Decenio de </w:t>
                            </w:r>
                            <w:r>
                              <w:rPr>
                                <w:rFonts w:ascii="Arial Narrow" w:hAnsi="Arial Narrow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la Igualdad de Oportunidades Para Mujeres y</w:t>
                            </w:r>
                            <w:r w:rsidRPr="00337BBC">
                              <w:rPr>
                                <w:rFonts w:ascii="Arial Narrow" w:hAnsi="Arial Narrow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Hombres” 2018 al 2027</w:t>
                            </w:r>
                          </w:p>
                          <w:p w:rsidR="00040720" w:rsidRPr="00337BBC" w:rsidRDefault="00040720" w:rsidP="00040720">
                            <w:pPr>
                              <w:tabs>
                                <w:tab w:val="center" w:pos="1980"/>
                                <w:tab w:val="center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37BBC">
                              <w:rPr>
                                <w:rFonts w:ascii="Arial Narrow" w:hAnsi="Arial Narrow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“Año de la L</w:t>
                            </w:r>
                            <w:r>
                              <w:rPr>
                                <w:rFonts w:ascii="Arial Narrow" w:hAnsi="Arial Narrow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ucha Contra la Corrupción y la I</w:t>
                            </w:r>
                            <w:r w:rsidRPr="00337BBC">
                              <w:rPr>
                                <w:rFonts w:ascii="Arial Narrow" w:hAnsi="Arial Narrow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mpunidad”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0720" w:rsidRDefault="00040720" w:rsidP="00040720">
            <w:pPr>
              <w:jc w:val="center"/>
              <w:rPr>
                <w:b/>
                <w:sz w:val="36"/>
                <w:szCs w:val="36"/>
                <w:u w:val="single"/>
              </w:rPr>
            </w:pPr>
            <w:bookmarkStart w:id="0" w:name="_GoBack"/>
            <w:r w:rsidRPr="00040720">
              <w:rPr>
                <w:b/>
                <w:sz w:val="36"/>
                <w:szCs w:val="36"/>
                <w:u w:val="single"/>
              </w:rPr>
              <w:t>COMUNICADO N° 001-2019/NOMBRAMIENTO ADMINISTRATIVO 2019</w:t>
            </w:r>
            <w:r>
              <w:rPr>
                <w:b/>
                <w:sz w:val="36"/>
                <w:szCs w:val="36"/>
                <w:u w:val="single"/>
              </w:rPr>
              <w:t>/</w:t>
            </w:r>
            <w:r w:rsidR="005C3539">
              <w:rPr>
                <w:b/>
                <w:sz w:val="36"/>
                <w:szCs w:val="36"/>
                <w:u w:val="single"/>
              </w:rPr>
              <w:t>URH-DRELM</w:t>
            </w:r>
          </w:p>
          <w:bookmarkEnd w:id="0"/>
          <w:p w:rsidR="00040720" w:rsidRDefault="00040720" w:rsidP="00040720">
            <w:pPr>
              <w:rPr>
                <w:b/>
                <w:sz w:val="36"/>
                <w:szCs w:val="36"/>
                <w:u w:val="single"/>
              </w:rPr>
            </w:pPr>
          </w:p>
          <w:p w:rsidR="00040720" w:rsidRDefault="00040720" w:rsidP="00B54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informa a los servidores administrativos contratados </w:t>
            </w:r>
            <w:r w:rsidR="000270CD">
              <w:rPr>
                <w:sz w:val="28"/>
                <w:szCs w:val="28"/>
              </w:rPr>
              <w:t>en el presente año, bajo</w:t>
            </w:r>
            <w:r w:rsidR="001C01A3">
              <w:rPr>
                <w:sz w:val="28"/>
                <w:szCs w:val="28"/>
              </w:rPr>
              <w:t xml:space="preserve"> el</w:t>
            </w:r>
            <w:r w:rsidR="00B54EF1">
              <w:rPr>
                <w:sz w:val="28"/>
                <w:szCs w:val="28"/>
              </w:rPr>
              <w:t xml:space="preserve"> régimen laboral Decreto Legislativo N° 276, de la sede </w:t>
            </w:r>
            <w:r w:rsidR="00221D4F">
              <w:rPr>
                <w:sz w:val="28"/>
                <w:szCs w:val="28"/>
              </w:rPr>
              <w:t>administrativa e</w:t>
            </w:r>
            <w:r w:rsidR="00B54EF1">
              <w:rPr>
                <w:sz w:val="28"/>
                <w:szCs w:val="28"/>
              </w:rPr>
              <w:t xml:space="preserve"> </w:t>
            </w:r>
            <w:r w:rsidR="00221D4F">
              <w:rPr>
                <w:sz w:val="28"/>
                <w:szCs w:val="28"/>
              </w:rPr>
              <w:t>IES de</w:t>
            </w:r>
            <w:r w:rsidR="001C01A3">
              <w:rPr>
                <w:sz w:val="28"/>
                <w:szCs w:val="28"/>
              </w:rPr>
              <w:t xml:space="preserve"> la jurisdicción </w:t>
            </w:r>
            <w:r w:rsidR="005C3539">
              <w:rPr>
                <w:sz w:val="28"/>
                <w:szCs w:val="28"/>
              </w:rPr>
              <w:t>de la DRELM</w:t>
            </w:r>
            <w:r w:rsidR="001C01A3">
              <w:rPr>
                <w:sz w:val="28"/>
                <w:szCs w:val="28"/>
              </w:rPr>
              <w:t>,</w:t>
            </w:r>
            <w:r w:rsidR="00B54EF1">
              <w:rPr>
                <w:sz w:val="28"/>
                <w:szCs w:val="28"/>
              </w:rPr>
              <w:t xml:space="preserve"> </w:t>
            </w:r>
            <w:r w:rsidR="00221D4F">
              <w:rPr>
                <w:sz w:val="28"/>
                <w:szCs w:val="28"/>
              </w:rPr>
              <w:t>que,</w:t>
            </w:r>
            <w:r w:rsidR="00B54EF1">
              <w:rPr>
                <w:sz w:val="28"/>
                <w:szCs w:val="28"/>
              </w:rPr>
              <w:t xml:space="preserve"> en vista de las inquietudes y consultas formuladas por los interesados y representantes sindicales, en relación al término “VISAR” señalado en los requisitos de presentación de las solicitudes para el nombramiento y otros </w:t>
            </w:r>
            <w:r w:rsidR="00221D4F">
              <w:rPr>
                <w:sz w:val="28"/>
                <w:szCs w:val="28"/>
              </w:rPr>
              <w:t>puntos, se</w:t>
            </w:r>
            <w:r w:rsidR="00B54EF1">
              <w:rPr>
                <w:sz w:val="28"/>
                <w:szCs w:val="28"/>
              </w:rPr>
              <w:t xml:space="preserve"> aclara lo siguiente:</w:t>
            </w:r>
          </w:p>
          <w:p w:rsidR="00B54EF1" w:rsidRDefault="00B54EF1" w:rsidP="00B54EF1">
            <w:pPr>
              <w:jc w:val="both"/>
              <w:rPr>
                <w:sz w:val="28"/>
                <w:szCs w:val="28"/>
              </w:rPr>
            </w:pPr>
          </w:p>
          <w:p w:rsidR="00B54EF1" w:rsidRDefault="001C01A3" w:rsidP="001C01A3">
            <w:pPr>
              <w:ind w:left="602" w:hanging="60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4EF1">
              <w:rPr>
                <w:sz w:val="28"/>
                <w:szCs w:val="28"/>
              </w:rPr>
              <w:t xml:space="preserve">1°   </w:t>
            </w:r>
            <w:r>
              <w:rPr>
                <w:sz w:val="28"/>
                <w:szCs w:val="28"/>
              </w:rPr>
              <w:t xml:space="preserve"> </w:t>
            </w:r>
            <w:r w:rsidR="00B54EF1">
              <w:rPr>
                <w:sz w:val="28"/>
                <w:szCs w:val="28"/>
              </w:rPr>
              <w:t xml:space="preserve">El procedimiento administrativo de visar significa que cada folio de los </w:t>
            </w:r>
            <w:r>
              <w:rPr>
                <w:sz w:val="28"/>
                <w:szCs w:val="28"/>
              </w:rPr>
              <w:t xml:space="preserve">  </w:t>
            </w:r>
            <w:r w:rsidR="00B54EF1">
              <w:rPr>
                <w:sz w:val="28"/>
                <w:szCs w:val="28"/>
              </w:rPr>
              <w:t xml:space="preserve">documentos presentados deberán </w:t>
            </w:r>
            <w:r w:rsidR="00B54EF1" w:rsidRPr="00B54EF1">
              <w:rPr>
                <w:b/>
                <w:sz w:val="28"/>
                <w:szCs w:val="28"/>
                <w:u w:val="single"/>
              </w:rPr>
              <w:t>ESTAR FIRMADOS POR EL PROPIO INTERESADO</w:t>
            </w:r>
            <w:r w:rsidR="00B54EF1" w:rsidRPr="00B54EF1">
              <w:rPr>
                <w:b/>
                <w:sz w:val="28"/>
                <w:szCs w:val="28"/>
              </w:rPr>
              <w:t xml:space="preserve">, </w:t>
            </w:r>
            <w:r w:rsidR="00B54EF1" w:rsidRPr="00B54EF1">
              <w:rPr>
                <w:sz w:val="28"/>
                <w:szCs w:val="28"/>
              </w:rPr>
              <w:t xml:space="preserve">que se entienda que </w:t>
            </w:r>
            <w:r w:rsidR="00B54EF1" w:rsidRPr="00B54EF1">
              <w:rPr>
                <w:b/>
                <w:sz w:val="28"/>
                <w:szCs w:val="28"/>
                <w:u w:val="single"/>
              </w:rPr>
              <w:t>NO ES FEDATEAR</w:t>
            </w:r>
            <w:r w:rsidR="008E6768">
              <w:rPr>
                <w:b/>
                <w:sz w:val="28"/>
                <w:szCs w:val="28"/>
                <w:u w:val="single"/>
              </w:rPr>
              <w:t>.</w:t>
            </w:r>
          </w:p>
          <w:p w:rsidR="008E6768" w:rsidRDefault="008E6768" w:rsidP="00221D4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C01A3" w:rsidRPr="000D5659" w:rsidRDefault="001C01A3" w:rsidP="000D5659">
            <w:pPr>
              <w:autoSpaceDE w:val="0"/>
              <w:autoSpaceDN w:val="0"/>
              <w:adjustRightInd w:val="0"/>
              <w:spacing w:after="200" w:line="276" w:lineRule="auto"/>
              <w:ind w:left="602" w:hanging="4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534A" w:rsidRPr="001C01A3">
              <w:rPr>
                <w:sz w:val="28"/>
                <w:szCs w:val="28"/>
              </w:rPr>
              <w:t>° En</w:t>
            </w:r>
            <w:r w:rsidR="008E6768" w:rsidRPr="001C01A3">
              <w:rPr>
                <w:sz w:val="28"/>
                <w:szCs w:val="28"/>
              </w:rPr>
              <w:t xml:space="preserve"> relación al Numeral 5° del Anexo 3</w:t>
            </w:r>
            <w:r w:rsidR="00110753" w:rsidRPr="001C01A3">
              <w:rPr>
                <w:sz w:val="28"/>
                <w:szCs w:val="28"/>
              </w:rPr>
              <w:t>A</w:t>
            </w:r>
            <w:r w:rsidR="00110753" w:rsidRPr="001C01A3">
              <w:rPr>
                <w:rFonts w:ascii="Arial" w:hAnsi="Arial" w:cs="Arial"/>
                <w:bCs/>
                <w:sz w:val="28"/>
                <w:szCs w:val="28"/>
              </w:rPr>
              <w:t xml:space="preserve"> “</w:t>
            </w:r>
            <w:r w:rsidR="008E6768" w:rsidRPr="001C01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 TENER </w:t>
            </w:r>
            <w:r w:rsidR="00110753" w:rsidRPr="001C01A3">
              <w:rPr>
                <w:rFonts w:ascii="Arial" w:hAnsi="Arial" w:cs="Arial"/>
                <w:b/>
                <w:bCs/>
                <w:sz w:val="28"/>
                <w:szCs w:val="28"/>
              </w:rPr>
              <w:t>PROCESO ADMINISTRATIVO</w:t>
            </w:r>
            <w:r w:rsidR="008E6768" w:rsidRPr="001C01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DISCIP</w:t>
            </w:r>
            <w:r w:rsidRPr="001C01A3">
              <w:rPr>
                <w:rFonts w:ascii="Arial" w:hAnsi="Arial" w:cs="Arial"/>
                <w:b/>
                <w:bCs/>
                <w:sz w:val="28"/>
                <w:szCs w:val="28"/>
              </w:rPr>
              <w:t>LINARIO PENDIENTE CON EL ESTADO</w:t>
            </w:r>
            <w:r w:rsidR="008E6768" w:rsidRPr="001C01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”, se aclara </w:t>
            </w:r>
            <w:r w:rsidRPr="001C01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 este extremo </w:t>
            </w:r>
            <w:r w:rsidR="00110753" w:rsidRPr="001C01A3">
              <w:rPr>
                <w:rFonts w:ascii="Arial" w:hAnsi="Arial" w:cs="Arial"/>
                <w:b/>
                <w:bCs/>
                <w:sz w:val="28"/>
                <w:szCs w:val="28"/>
              </w:rPr>
              <w:t>que, si</w:t>
            </w:r>
            <w:r w:rsidR="008E6768" w:rsidRPr="001C01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 servidor administrativo se encontrará inmerso en una instauración de proceso administrativo disciplinario</w:t>
            </w:r>
            <w:r w:rsidRPr="001C01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en el presente año</w:t>
            </w:r>
            <w:r w:rsidR="008E6768" w:rsidRPr="001C01A3">
              <w:rPr>
                <w:rFonts w:ascii="Arial" w:hAnsi="Arial" w:cs="Arial"/>
                <w:b/>
                <w:bCs/>
                <w:sz w:val="28"/>
                <w:szCs w:val="28"/>
              </w:rPr>
              <w:t>, no se</w:t>
            </w:r>
            <w:r w:rsidRPr="001C01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rá impedimento para ser nombrado. </w:t>
            </w:r>
          </w:p>
          <w:p w:rsidR="001C01A3" w:rsidRPr="001C01A3" w:rsidRDefault="001C01A3" w:rsidP="001C01A3">
            <w:pPr>
              <w:autoSpaceDE w:val="0"/>
              <w:autoSpaceDN w:val="0"/>
              <w:adjustRightInd w:val="0"/>
              <w:spacing w:after="200" w:line="276" w:lineRule="auto"/>
              <w:ind w:left="602" w:hanging="602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  <w:r w:rsidR="0089534A">
              <w:rPr>
                <w:rFonts w:ascii="Arial" w:hAnsi="Arial" w:cs="Arial"/>
                <w:b/>
                <w:bCs/>
                <w:sz w:val="28"/>
                <w:szCs w:val="28"/>
              </w:rPr>
              <w:t>° En</w:t>
            </w:r>
            <w:r w:rsidR="008E6768" w:rsidRPr="001C01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la solicitud de presentación deberán precisar al requisito que se presenta: </w:t>
            </w:r>
          </w:p>
          <w:p w:rsidR="001C01A3" w:rsidRPr="001C01A3" w:rsidRDefault="001C01A3" w:rsidP="001C01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01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Periodo no menor de tres (3) años consecutivos </w:t>
            </w:r>
          </w:p>
          <w:p w:rsidR="00040720" w:rsidRPr="001C01A3" w:rsidRDefault="001C01A3" w:rsidP="001C01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01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Período de cuatro (4) años alternados </w:t>
            </w:r>
          </w:p>
          <w:p w:rsidR="00040720" w:rsidRDefault="00040720"/>
        </w:tc>
      </w:tr>
    </w:tbl>
    <w:p w:rsidR="00F81C5B" w:rsidRDefault="007821D8"/>
    <w:sectPr w:rsidR="00F81C5B" w:rsidSect="0004072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A3C"/>
    <w:multiLevelType w:val="hybridMultilevel"/>
    <w:tmpl w:val="FB72CD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CE3"/>
    <w:multiLevelType w:val="hybridMultilevel"/>
    <w:tmpl w:val="C1D251F6"/>
    <w:lvl w:ilvl="0" w:tplc="280A000F">
      <w:start w:val="1"/>
      <w:numFmt w:val="decimal"/>
      <w:lvlText w:val="%1."/>
      <w:lvlJc w:val="left"/>
      <w:pPr>
        <w:ind w:left="99" w:hanging="360"/>
      </w:p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 w15:restartNumberingAfterBreak="0">
    <w:nsid w:val="75A17FAC"/>
    <w:multiLevelType w:val="hybridMultilevel"/>
    <w:tmpl w:val="F19A57B6"/>
    <w:lvl w:ilvl="0" w:tplc="985A621A">
      <w:start w:val="1"/>
      <w:numFmt w:val="lowerLetter"/>
      <w:lvlText w:val="%1)"/>
      <w:lvlJc w:val="left"/>
      <w:pPr>
        <w:ind w:left="1008" w:hanging="408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80" w:hanging="360"/>
      </w:pPr>
    </w:lvl>
    <w:lvl w:ilvl="2" w:tplc="280A001B" w:tentative="1">
      <w:start w:val="1"/>
      <w:numFmt w:val="lowerRoman"/>
      <w:lvlText w:val="%3."/>
      <w:lvlJc w:val="right"/>
      <w:pPr>
        <w:ind w:left="2400" w:hanging="180"/>
      </w:pPr>
    </w:lvl>
    <w:lvl w:ilvl="3" w:tplc="280A000F" w:tentative="1">
      <w:start w:val="1"/>
      <w:numFmt w:val="decimal"/>
      <w:lvlText w:val="%4."/>
      <w:lvlJc w:val="left"/>
      <w:pPr>
        <w:ind w:left="3120" w:hanging="360"/>
      </w:pPr>
    </w:lvl>
    <w:lvl w:ilvl="4" w:tplc="280A0019" w:tentative="1">
      <w:start w:val="1"/>
      <w:numFmt w:val="lowerLetter"/>
      <w:lvlText w:val="%5."/>
      <w:lvlJc w:val="left"/>
      <w:pPr>
        <w:ind w:left="3840" w:hanging="360"/>
      </w:pPr>
    </w:lvl>
    <w:lvl w:ilvl="5" w:tplc="280A001B" w:tentative="1">
      <w:start w:val="1"/>
      <w:numFmt w:val="lowerRoman"/>
      <w:lvlText w:val="%6."/>
      <w:lvlJc w:val="right"/>
      <w:pPr>
        <w:ind w:left="4560" w:hanging="180"/>
      </w:pPr>
    </w:lvl>
    <w:lvl w:ilvl="6" w:tplc="280A000F" w:tentative="1">
      <w:start w:val="1"/>
      <w:numFmt w:val="decimal"/>
      <w:lvlText w:val="%7."/>
      <w:lvlJc w:val="left"/>
      <w:pPr>
        <w:ind w:left="5280" w:hanging="360"/>
      </w:pPr>
    </w:lvl>
    <w:lvl w:ilvl="7" w:tplc="280A0019" w:tentative="1">
      <w:start w:val="1"/>
      <w:numFmt w:val="lowerLetter"/>
      <w:lvlText w:val="%8."/>
      <w:lvlJc w:val="left"/>
      <w:pPr>
        <w:ind w:left="6000" w:hanging="360"/>
      </w:pPr>
    </w:lvl>
    <w:lvl w:ilvl="8" w:tplc="28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20"/>
    <w:rsid w:val="000270CD"/>
    <w:rsid w:val="000354CC"/>
    <w:rsid w:val="00040720"/>
    <w:rsid w:val="000D5659"/>
    <w:rsid w:val="00110753"/>
    <w:rsid w:val="001C01A3"/>
    <w:rsid w:val="00221D4F"/>
    <w:rsid w:val="00277CA8"/>
    <w:rsid w:val="005C3539"/>
    <w:rsid w:val="007821D8"/>
    <w:rsid w:val="0089534A"/>
    <w:rsid w:val="008E6768"/>
    <w:rsid w:val="009F14E1"/>
    <w:rsid w:val="00AD6A86"/>
    <w:rsid w:val="00B54EF1"/>
    <w:rsid w:val="00E1388E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6E8E9"/>
  <w15:chartTrackingRefBased/>
  <w15:docId w15:val="{6F818E33-345E-433C-93B4-E2DA688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072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0720"/>
    <w:rPr>
      <w:lang w:val="es-ES"/>
    </w:rPr>
  </w:style>
  <w:style w:type="paragraph" w:styleId="Prrafodelista">
    <w:name w:val="List Paragraph"/>
    <w:aliases w:val="Fundamentacion,Lista vistosa - Énfasis 11,Bulleted List,Cita Pie de Página,titulo,SubPárrafo de lista,Lista media 2 - Énfasis 41,TITULO A,Párrafo de lista2,Párrafo de lista1,Titulo de Fígura,List Paragraph"/>
    <w:basedOn w:val="Normal"/>
    <w:link w:val="PrrafodelistaCar"/>
    <w:uiPriority w:val="1"/>
    <w:qFormat/>
    <w:rsid w:val="001C01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aliases w:val="Fundamentacion Car,Lista vistosa - Énfasis 11 Car,Bulleted List Car,Cita Pie de Página Car,titulo Car,SubPárrafo de lista Car,Lista media 2 - Énfasis 41 Car,TITULO A Car,Párrafo de lista2 Car,Párrafo de lista1 Car,List Paragraph Car"/>
    <w:link w:val="Prrafodelista"/>
    <w:uiPriority w:val="1"/>
    <w:locked/>
    <w:rsid w:val="001C01A3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 Pastor Minguillo</dc:creator>
  <cp:keywords/>
  <dc:description/>
  <cp:lastModifiedBy>GLORIA PATRICIA PRIALE FABIAN</cp:lastModifiedBy>
  <cp:revision>2</cp:revision>
  <cp:lastPrinted>2019-08-15T13:55:00Z</cp:lastPrinted>
  <dcterms:created xsi:type="dcterms:W3CDTF">2019-08-16T19:55:00Z</dcterms:created>
  <dcterms:modified xsi:type="dcterms:W3CDTF">2019-08-16T19:55:00Z</dcterms:modified>
</cp:coreProperties>
</file>